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4928" w14:textId="77777777" w:rsidR="006D40E2" w:rsidRDefault="00886BEF">
      <w:pPr>
        <w:pStyle w:val="Heading1"/>
      </w:pPr>
      <w:r>
        <w:rPr>
          <w:color w:val="000000"/>
        </w:rPr>
        <w:t>ECE 25500 – Introduction to Electronic Analysis and Design</w:t>
      </w:r>
    </w:p>
    <w:p w14:paraId="1D34B889" w14:textId="77777777" w:rsidR="006D40E2" w:rsidRDefault="00886BEF">
      <w:pPr>
        <w:pStyle w:val="Heading2"/>
      </w:pPr>
      <w:r>
        <w:rPr>
          <w:color w:val="000000"/>
        </w:rPr>
        <w:t>Type of Course</w:t>
      </w:r>
    </w:p>
    <w:p w14:paraId="0A982BAD" w14:textId="77777777" w:rsidR="006D40E2" w:rsidRDefault="00886BEF">
      <w:r>
        <w:t>Required for CmpE and EE Programs</w:t>
      </w:r>
    </w:p>
    <w:p w14:paraId="0AD03F67" w14:textId="77777777" w:rsidR="006D40E2" w:rsidRDefault="00886BEF">
      <w:pPr>
        <w:pStyle w:val="Heading2"/>
      </w:pPr>
      <w:r>
        <w:rPr>
          <w:color w:val="000000"/>
        </w:rPr>
        <w:t>Catalog Description</w:t>
      </w:r>
    </w:p>
    <w:p w14:paraId="721D04B1" w14:textId="77777777" w:rsidR="006D40E2" w:rsidRDefault="00886BEF">
      <w:r>
        <w:t xml:space="preserve">Diode, bipolar transistor, and FET circuit models for the </w:t>
      </w:r>
      <w:r>
        <w:t>design and analysis of electronic circuits. Single and multistage analysis and design; introduction to digital circuits. Computer-aided design calculations, amplifier operating point design, and frequency response of single and multistage amplifiers. High-</w:t>
      </w:r>
      <w:r>
        <w:t>frequency and low-frequency designs are emphasized.</w:t>
      </w:r>
    </w:p>
    <w:p w14:paraId="5E49F5EE" w14:textId="77777777" w:rsidR="006D40E2" w:rsidRDefault="00886BEF">
      <w:pPr>
        <w:pStyle w:val="Heading2"/>
      </w:pPr>
      <w:r>
        <w:rPr>
          <w:color w:val="000000"/>
        </w:rPr>
        <w:t>Credits</w:t>
      </w:r>
    </w:p>
    <w:p w14:paraId="566CA093" w14:textId="77777777" w:rsidR="006D40E2" w:rsidRDefault="00886BEF">
      <w:r>
        <w:t>3</w:t>
      </w:r>
    </w:p>
    <w:p w14:paraId="2058FD92" w14:textId="77777777" w:rsidR="006D40E2" w:rsidRDefault="00886BEF">
      <w:pPr>
        <w:pStyle w:val="Heading2"/>
      </w:pPr>
      <w:r>
        <w:rPr>
          <w:color w:val="000000"/>
        </w:rPr>
        <w:t>Contact Hours</w:t>
      </w:r>
    </w:p>
    <w:p w14:paraId="11049F89" w14:textId="77777777" w:rsidR="006D40E2" w:rsidRDefault="00886BEF">
      <w:r>
        <w:t>3</w:t>
      </w:r>
    </w:p>
    <w:p w14:paraId="796907E8" w14:textId="77777777" w:rsidR="006D40E2" w:rsidRDefault="00886BEF">
      <w:pPr>
        <w:pStyle w:val="Heading2"/>
      </w:pPr>
      <w:r>
        <w:rPr>
          <w:color w:val="000000"/>
        </w:rPr>
        <w:t>Prerequisite Courses</w:t>
      </w:r>
    </w:p>
    <w:p w14:paraId="4D6157E0" w14:textId="77777777" w:rsidR="006D40E2" w:rsidRDefault="00886BEF">
      <w:r>
        <w:t>ECE  20100, and CHM11500</w:t>
      </w:r>
    </w:p>
    <w:p w14:paraId="2A750B50" w14:textId="77777777" w:rsidR="006D40E2" w:rsidRDefault="00886BEF">
      <w:pPr>
        <w:pStyle w:val="Heading2"/>
      </w:pPr>
      <w:r>
        <w:rPr>
          <w:color w:val="000000"/>
        </w:rPr>
        <w:t>Prerequisites by Topics</w:t>
      </w:r>
    </w:p>
    <w:p w14:paraId="673FB4DB" w14:textId="77777777" w:rsidR="006D40E2" w:rsidRDefault="00886BEF">
      <w:r>
        <w:t>Basic circuit analysis including Ohm’s and Kirchhoff’s Laws, loop and nodal analysis, Thevenin and Norton eq</w:t>
      </w:r>
      <w:r>
        <w:t>uivalents, Sinusoidal forcing functions, phasors, impedance, and admittance</w:t>
      </w:r>
    </w:p>
    <w:p w14:paraId="120A29A0" w14:textId="77777777" w:rsidR="006D40E2" w:rsidRDefault="00886BEF">
      <w:pPr>
        <w:pStyle w:val="Heading2"/>
      </w:pPr>
      <w:r>
        <w:rPr>
          <w:color w:val="000000"/>
        </w:rPr>
        <w:t>Textbook</w:t>
      </w:r>
    </w:p>
    <w:p w14:paraId="2AEBA077" w14:textId="77777777" w:rsidR="006D40E2" w:rsidRDefault="00886BEF">
      <w:r>
        <w:t>Donald A. Neamen, Microelectronics Circuit Analysis and Design, McGraw Hill, 4th Edition.</w:t>
      </w:r>
    </w:p>
    <w:p w14:paraId="2C77B7B2" w14:textId="77777777" w:rsidR="006D40E2" w:rsidRDefault="00886BEF">
      <w:pPr>
        <w:pStyle w:val="Heading2"/>
      </w:pPr>
      <w:r>
        <w:rPr>
          <w:color w:val="000000"/>
        </w:rPr>
        <w:t>Course Objectives</w:t>
      </w:r>
    </w:p>
    <w:p w14:paraId="07CEDF90" w14:textId="77777777" w:rsidR="006D40E2" w:rsidRDefault="00886BEF">
      <w:r>
        <w:t>One objective of this course is to use the material presented i</w:t>
      </w:r>
      <w:r>
        <w:t>n the introductory courses in an engineering sense, i.e., design. The medium used is the analysis and design of electronic systems. A secondary objective is the use of the computer in this process, i.e., when, if, and how the computer should be used to sol</w:t>
      </w:r>
      <w:r>
        <w:t>ve an engineering design problem. A third objective is that of introducing specific electronic systems as design examples of a complete engineering problem using systems specifications and typical specification sheets as a starting point.</w:t>
      </w:r>
    </w:p>
    <w:p w14:paraId="26635E1F" w14:textId="77777777" w:rsidR="006D40E2" w:rsidRDefault="00886BEF">
      <w:pPr>
        <w:pStyle w:val="Heading2"/>
      </w:pPr>
      <w:r>
        <w:rPr>
          <w:color w:val="000000"/>
        </w:rPr>
        <w:lastRenderedPageBreak/>
        <w:t>Course Outcomes</w:t>
      </w:r>
    </w:p>
    <w:p w14:paraId="4D1E97B0" w14:textId="77777777" w:rsidR="006D40E2" w:rsidRDefault="00886BEF">
      <w:pPr>
        <w:pStyle w:val="Heading2"/>
      </w:pPr>
      <w:r>
        <w:rPr>
          <w:color w:val="000000"/>
        </w:rPr>
        <w:t>S</w:t>
      </w:r>
      <w:r>
        <w:rPr>
          <w:color w:val="000000"/>
        </w:rPr>
        <w:t>tudents who successfully complete this course will have demonstrated</w:t>
      </w:r>
    </w:p>
    <w:p w14:paraId="29AE1F45" w14:textId="77777777" w:rsidR="006D40E2" w:rsidRDefault="00886BEF">
      <w:pPr>
        <w:pStyle w:val="ListNumber"/>
      </w:pPr>
      <w:r>
        <w:t>An ability to design the components of a power supply, including rectification, filtering, and voltage regulation to produce a desired output. (2)</w:t>
      </w:r>
    </w:p>
    <w:p w14:paraId="17F255DD" w14:textId="77777777" w:rsidR="006D40E2" w:rsidRDefault="00886BEF">
      <w:pPr>
        <w:pStyle w:val="ListNumber"/>
      </w:pPr>
      <w:r>
        <w:t xml:space="preserve">An ability to analyze and interpret the </w:t>
      </w:r>
      <w:r>
        <w:t>dc and ac characteristics of circuits containing BJTs or MOSFETs, and to distinguish the application of the device as a switch or an amplifier (6)</w:t>
      </w:r>
    </w:p>
    <w:p w14:paraId="46D4B0D0" w14:textId="16F95F28" w:rsidR="006D40E2" w:rsidRDefault="00886BEF">
      <w:pPr>
        <w:pStyle w:val="ListNumber"/>
      </w:pPr>
      <w:r>
        <w:t>An ability to analyze and design operation amplifiers and to use them for amplification in electronic circuit</w:t>
      </w:r>
      <w:r>
        <w:t>s. (1)</w:t>
      </w:r>
    </w:p>
    <w:p w14:paraId="1F5CE22C" w14:textId="3D9DAA56" w:rsidR="00886BEF" w:rsidRPr="00886BEF" w:rsidRDefault="00886BEF" w:rsidP="00886BEF">
      <w:pPr>
        <w:pStyle w:val="Caption"/>
        <w:jc w:val="center"/>
        <w:rPr>
          <w:rFonts w:cs="Calibri"/>
          <w:color w:val="000000" w:themeColor="text1"/>
        </w:rPr>
      </w:pPr>
      <w:r w:rsidRPr="00886BEF">
        <w:rPr>
          <w:color w:val="000000" w:themeColor="text1"/>
        </w:rPr>
        <w:t xml:space="preserve">Table </w:t>
      </w:r>
      <w:r w:rsidRPr="00886BEF">
        <w:rPr>
          <w:color w:val="000000" w:themeColor="text1"/>
        </w:rPr>
        <w:fldChar w:fldCharType="begin"/>
      </w:r>
      <w:r w:rsidRPr="00886BEF">
        <w:rPr>
          <w:color w:val="000000" w:themeColor="text1"/>
        </w:rPr>
        <w:instrText xml:space="preserve"> SEQ Table \* ARABIC </w:instrText>
      </w:r>
      <w:r w:rsidRPr="00886BEF">
        <w:rPr>
          <w:color w:val="000000" w:themeColor="text1"/>
        </w:rPr>
        <w:fldChar w:fldCharType="separate"/>
      </w:r>
      <w:r w:rsidRPr="00886BEF">
        <w:rPr>
          <w:noProof/>
          <w:color w:val="000000" w:themeColor="text1"/>
        </w:rPr>
        <w:t>1</w:t>
      </w:r>
      <w:r w:rsidRPr="00886BEF">
        <w:rPr>
          <w:color w:val="000000" w:themeColor="text1"/>
        </w:rPr>
        <w:fldChar w:fldCharType="end"/>
      </w:r>
      <w:r w:rsidRPr="00886BEF">
        <w:rPr>
          <w:color w:val="000000" w:themeColor="text1"/>
        </w:rPr>
        <w:t xml:space="preserve">. </w:t>
      </w:r>
      <w:r w:rsidRPr="00886BEF">
        <w:rPr>
          <w:rFonts w:cs="Calibri"/>
          <w:color w:val="000000" w:themeColor="text1"/>
        </w:rPr>
        <w:t>Mapping between course outcomes to program student learning outcomes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49"/>
        <w:gridCol w:w="880"/>
        <w:gridCol w:w="881"/>
        <w:gridCol w:w="881"/>
        <w:gridCol w:w="880"/>
        <w:gridCol w:w="881"/>
        <w:gridCol w:w="881"/>
        <w:gridCol w:w="881"/>
      </w:tblGrid>
      <w:tr w:rsidR="00886BEF" w14:paraId="0011ED72" w14:textId="77777777" w:rsidTr="00E4079D">
        <w:trPr>
          <w:jc w:val="right"/>
        </w:trPr>
        <w:tc>
          <w:tcPr>
            <w:tcW w:w="2049" w:type="dxa"/>
          </w:tcPr>
          <w:p w14:paraId="495D6C3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Course outcome\ABET SLOs</w:t>
            </w:r>
          </w:p>
        </w:tc>
        <w:tc>
          <w:tcPr>
            <w:tcW w:w="880" w:type="dxa"/>
          </w:tcPr>
          <w:p w14:paraId="200CE5E7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81" w:type="dxa"/>
          </w:tcPr>
          <w:p w14:paraId="29DC8EAF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81" w:type="dxa"/>
          </w:tcPr>
          <w:p w14:paraId="0D5A9928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80" w:type="dxa"/>
          </w:tcPr>
          <w:p w14:paraId="67B2553E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81" w:type="dxa"/>
          </w:tcPr>
          <w:p w14:paraId="3F7D10D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81" w:type="dxa"/>
          </w:tcPr>
          <w:p w14:paraId="3BFB5EAC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881" w:type="dxa"/>
          </w:tcPr>
          <w:p w14:paraId="356BB52A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886BEF" w14:paraId="0778D37B" w14:textId="77777777" w:rsidTr="00E4079D">
        <w:trPr>
          <w:jc w:val="right"/>
        </w:trPr>
        <w:tc>
          <w:tcPr>
            <w:tcW w:w="2049" w:type="dxa"/>
          </w:tcPr>
          <w:p w14:paraId="4ACED21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80" w:type="dxa"/>
          </w:tcPr>
          <w:p w14:paraId="7B5E34C9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681C0398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881" w:type="dxa"/>
          </w:tcPr>
          <w:p w14:paraId="15C2D2BC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0" w:type="dxa"/>
          </w:tcPr>
          <w:p w14:paraId="6E1B3B1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25B664BB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61431427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6568FB2D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886BEF" w14:paraId="14817EF9" w14:textId="77777777" w:rsidTr="00E4079D">
        <w:trPr>
          <w:jc w:val="right"/>
        </w:trPr>
        <w:tc>
          <w:tcPr>
            <w:tcW w:w="2049" w:type="dxa"/>
          </w:tcPr>
          <w:p w14:paraId="4155B8E6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80" w:type="dxa"/>
          </w:tcPr>
          <w:p w14:paraId="10A337A2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609A00CA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0F1D3567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0" w:type="dxa"/>
          </w:tcPr>
          <w:p w14:paraId="6E967919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1DB0954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1A5B1BCF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881" w:type="dxa"/>
          </w:tcPr>
          <w:p w14:paraId="3446A05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886BEF" w14:paraId="5B0F8AD0" w14:textId="77777777" w:rsidTr="00E4079D">
        <w:trPr>
          <w:jc w:val="right"/>
        </w:trPr>
        <w:tc>
          <w:tcPr>
            <w:tcW w:w="2049" w:type="dxa"/>
          </w:tcPr>
          <w:p w14:paraId="46F0E2BC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80" w:type="dxa"/>
          </w:tcPr>
          <w:p w14:paraId="22371CB1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881" w:type="dxa"/>
          </w:tcPr>
          <w:p w14:paraId="37547656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3E4C9862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0" w:type="dxa"/>
          </w:tcPr>
          <w:p w14:paraId="1B7ECAF6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6A3CED4C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3E6863B6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45C6148F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886BEF" w14:paraId="29206709" w14:textId="77777777" w:rsidTr="00E4079D">
        <w:trPr>
          <w:jc w:val="right"/>
        </w:trPr>
        <w:tc>
          <w:tcPr>
            <w:tcW w:w="2049" w:type="dxa"/>
          </w:tcPr>
          <w:p w14:paraId="7E4D37BB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Assessment Level*</w:t>
            </w:r>
          </w:p>
        </w:tc>
        <w:tc>
          <w:tcPr>
            <w:tcW w:w="880" w:type="dxa"/>
          </w:tcPr>
          <w:p w14:paraId="73600FE5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881" w:type="dxa"/>
          </w:tcPr>
          <w:p w14:paraId="474EB3E9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881" w:type="dxa"/>
          </w:tcPr>
          <w:p w14:paraId="3158C4E4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0" w:type="dxa"/>
          </w:tcPr>
          <w:p w14:paraId="3586311A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781676DA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81" w:type="dxa"/>
          </w:tcPr>
          <w:p w14:paraId="10DA832F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881" w:type="dxa"/>
          </w:tcPr>
          <w:p w14:paraId="29E74A76" w14:textId="77777777" w:rsidR="00886BEF" w:rsidRDefault="00886BEF" w:rsidP="00E4079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7919993D" w14:textId="77777777" w:rsidR="00886BEF" w:rsidRDefault="00886BEF" w:rsidP="00886BEF">
      <w:pPr>
        <w:pStyle w:val="ListNumber"/>
        <w:numPr>
          <w:ilvl w:val="0"/>
          <w:numId w:val="0"/>
        </w:num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</w:t>
      </w:r>
      <w:r w:rsidRPr="002D57B7">
        <w:rPr>
          <w:color w:val="000000" w:themeColor="text1"/>
          <w:sz w:val="16"/>
          <w:szCs w:val="16"/>
        </w:rPr>
        <w:t>*</w:t>
      </w:r>
      <w:r>
        <w:rPr>
          <w:color w:val="000000" w:themeColor="text1"/>
          <w:sz w:val="16"/>
          <w:szCs w:val="16"/>
        </w:rPr>
        <w:t xml:space="preserve"> </w:t>
      </w:r>
      <w:r w:rsidRPr="00381302">
        <w:rPr>
          <w:color w:val="000000" w:themeColor="text1"/>
          <w:sz w:val="16"/>
          <w:szCs w:val="16"/>
        </w:rPr>
        <w:t xml:space="preserve">H: Outcome </w:t>
      </w:r>
      <w:r>
        <w:rPr>
          <w:color w:val="000000" w:themeColor="text1"/>
          <w:sz w:val="16"/>
          <w:szCs w:val="16"/>
        </w:rPr>
        <w:t>a</w:t>
      </w:r>
      <w:r w:rsidRPr="00381302">
        <w:rPr>
          <w:color w:val="000000" w:themeColor="text1"/>
          <w:sz w:val="16"/>
          <w:szCs w:val="16"/>
        </w:rPr>
        <w:t xml:space="preserve">ssessed with </w:t>
      </w:r>
      <w:r>
        <w:rPr>
          <w:color w:val="000000" w:themeColor="text1"/>
          <w:sz w:val="16"/>
          <w:szCs w:val="16"/>
        </w:rPr>
        <w:t xml:space="preserve">high degree; </w:t>
      </w:r>
    </w:p>
    <w:p w14:paraId="04950CDD" w14:textId="77777777" w:rsidR="00886BEF" w:rsidRDefault="00886BEF" w:rsidP="00886BEF">
      <w:pPr>
        <w:pStyle w:val="ListNumber"/>
        <w:numPr>
          <w:ilvl w:val="0"/>
          <w:numId w:val="0"/>
        </w:num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</w:t>
      </w:r>
      <w:r w:rsidRPr="00381302">
        <w:rPr>
          <w:color w:val="000000" w:themeColor="text1"/>
          <w:sz w:val="16"/>
          <w:szCs w:val="16"/>
        </w:rPr>
        <w:t xml:space="preserve">M: Outcome </w:t>
      </w:r>
      <w:r>
        <w:rPr>
          <w:color w:val="000000" w:themeColor="text1"/>
          <w:sz w:val="16"/>
          <w:szCs w:val="16"/>
        </w:rPr>
        <w:t>a</w:t>
      </w:r>
      <w:r w:rsidRPr="00381302">
        <w:rPr>
          <w:color w:val="000000" w:themeColor="text1"/>
          <w:sz w:val="16"/>
          <w:szCs w:val="16"/>
        </w:rPr>
        <w:t xml:space="preserve">ssessed with </w:t>
      </w:r>
      <w:r>
        <w:rPr>
          <w:color w:val="000000" w:themeColor="text1"/>
          <w:sz w:val="16"/>
          <w:szCs w:val="16"/>
        </w:rPr>
        <w:t>m</w:t>
      </w:r>
      <w:r w:rsidRPr="00381302">
        <w:rPr>
          <w:color w:val="000000" w:themeColor="text1"/>
          <w:sz w:val="16"/>
          <w:szCs w:val="16"/>
        </w:rPr>
        <w:t xml:space="preserve">edium </w:t>
      </w:r>
      <w:r>
        <w:rPr>
          <w:color w:val="000000" w:themeColor="text1"/>
          <w:sz w:val="16"/>
          <w:szCs w:val="16"/>
        </w:rPr>
        <w:t xml:space="preserve">degree; </w:t>
      </w:r>
    </w:p>
    <w:p w14:paraId="2BC6BBBF" w14:textId="125534BB" w:rsidR="00886BEF" w:rsidRDefault="00886BEF" w:rsidP="00886BEF">
      <w:pPr>
        <w:pStyle w:val="ListNumber"/>
        <w:numPr>
          <w:ilvl w:val="0"/>
          <w:numId w:val="0"/>
        </w:numPr>
      </w:pPr>
      <w:r>
        <w:rPr>
          <w:color w:val="000000" w:themeColor="text1"/>
          <w:sz w:val="16"/>
          <w:szCs w:val="16"/>
        </w:rPr>
        <w:t xml:space="preserve">                    </w:t>
      </w:r>
      <w:r w:rsidRPr="00381302">
        <w:rPr>
          <w:color w:val="000000" w:themeColor="text1"/>
          <w:sz w:val="16"/>
          <w:szCs w:val="16"/>
        </w:rPr>
        <w:t xml:space="preserve">L: Outcome </w:t>
      </w:r>
      <w:r>
        <w:rPr>
          <w:color w:val="000000" w:themeColor="text1"/>
          <w:sz w:val="16"/>
          <w:szCs w:val="16"/>
        </w:rPr>
        <w:t>a</w:t>
      </w:r>
      <w:r w:rsidRPr="00381302">
        <w:rPr>
          <w:color w:val="000000" w:themeColor="text1"/>
          <w:sz w:val="16"/>
          <w:szCs w:val="16"/>
        </w:rPr>
        <w:t xml:space="preserve">ssessed with </w:t>
      </w:r>
      <w:r>
        <w:rPr>
          <w:color w:val="000000" w:themeColor="text1"/>
          <w:sz w:val="16"/>
          <w:szCs w:val="16"/>
        </w:rPr>
        <w:t>l</w:t>
      </w:r>
      <w:r w:rsidRPr="00381302">
        <w:rPr>
          <w:color w:val="000000" w:themeColor="text1"/>
          <w:sz w:val="16"/>
          <w:szCs w:val="16"/>
        </w:rPr>
        <w:t>ow degree</w:t>
      </w:r>
    </w:p>
    <w:p w14:paraId="4CB99BB5" w14:textId="77777777" w:rsidR="006D40E2" w:rsidRDefault="00886BEF">
      <w:pPr>
        <w:pStyle w:val="Heading2"/>
      </w:pPr>
      <w:r>
        <w:rPr>
          <w:color w:val="000000"/>
        </w:rPr>
        <w:t>Lecture Topics</w:t>
      </w:r>
    </w:p>
    <w:p w14:paraId="07973D0F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R</w:t>
      </w:r>
      <w:r>
        <w:t>eview of Linear Circuit Theory</w:t>
      </w:r>
    </w:p>
    <w:p w14:paraId="500E14CE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Diodes, diode models, diode applications</w:t>
      </w:r>
    </w:p>
    <w:p w14:paraId="4741110E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MOSFETs, MOSFET circuits, MOS logic</w:t>
      </w:r>
    </w:p>
    <w:p w14:paraId="26382758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Bipolar Junction Transistors, BJT circuits</w:t>
      </w:r>
    </w:p>
    <w:p w14:paraId="534A2BF7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 xml:space="preserve">Transistor applications, </w:t>
      </w:r>
      <w:proofErr w:type="gramStart"/>
      <w:r>
        <w:t>Multi-stage</w:t>
      </w:r>
      <w:proofErr w:type="gramEnd"/>
      <w:r>
        <w:t xml:space="preserve"> circuits</w:t>
      </w:r>
    </w:p>
    <w:p w14:paraId="5F858A21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BJT amplifiers, BJT hybrid-pi model</w:t>
      </w:r>
    </w:p>
    <w:p w14:paraId="2111074E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MOSFET amplifiers, MOSFET hybrid-pi model</w:t>
      </w:r>
    </w:p>
    <w:p w14:paraId="255203B8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Differential amplifiers</w:t>
      </w:r>
    </w:p>
    <w:p w14:paraId="56656F27" w14:textId="77777777" w:rsidR="006D40E2" w:rsidRDefault="00886BEF" w:rsidP="00452B6C">
      <w:pPr>
        <w:pStyle w:val="ListNumber"/>
        <w:numPr>
          <w:ilvl w:val="0"/>
          <w:numId w:val="10"/>
        </w:numPr>
      </w:pPr>
      <w:r>
        <w:t>Frequency response</w:t>
      </w:r>
    </w:p>
    <w:p w14:paraId="0C6605AF" w14:textId="77777777" w:rsidR="006D40E2" w:rsidRDefault="00886BEF">
      <w:pPr>
        <w:pStyle w:val="Heading2"/>
      </w:pPr>
      <w:r>
        <w:rPr>
          <w:color w:val="000000"/>
        </w:rPr>
        <w:t>Computer Usage</w:t>
      </w:r>
    </w:p>
    <w:p w14:paraId="40F4CE3C" w14:textId="77777777" w:rsidR="006D40E2" w:rsidRDefault="00886BEF">
      <w:r>
        <w:t>Medium</w:t>
      </w:r>
    </w:p>
    <w:p w14:paraId="0A98AE77" w14:textId="77777777" w:rsidR="006D40E2" w:rsidRDefault="00886BEF">
      <w:pPr>
        <w:pStyle w:val="Heading2"/>
      </w:pPr>
      <w:r>
        <w:rPr>
          <w:color w:val="000000"/>
        </w:rPr>
        <w:t>Laboratory Experience</w:t>
      </w:r>
    </w:p>
    <w:p w14:paraId="1E69B677" w14:textId="77777777" w:rsidR="006D40E2" w:rsidRDefault="00886BEF">
      <w:r>
        <w:t>No</w:t>
      </w:r>
      <w:r>
        <w:t>ne</w:t>
      </w:r>
    </w:p>
    <w:p w14:paraId="5889C5A7" w14:textId="77777777" w:rsidR="006D40E2" w:rsidRDefault="00886BEF">
      <w:pPr>
        <w:pStyle w:val="Heading2"/>
      </w:pPr>
      <w:r>
        <w:rPr>
          <w:color w:val="000000"/>
        </w:rPr>
        <w:t>Design Experience</w:t>
      </w:r>
    </w:p>
    <w:p w14:paraId="38706A04" w14:textId="77777777" w:rsidR="006D40E2" w:rsidRDefault="00886BEF">
      <w:r>
        <w:t>Medium</w:t>
      </w:r>
    </w:p>
    <w:p w14:paraId="4B9FE6D5" w14:textId="77777777" w:rsidR="006D40E2" w:rsidRDefault="00886BEF">
      <w:pPr>
        <w:pStyle w:val="Heading2"/>
      </w:pPr>
      <w:r>
        <w:rPr>
          <w:color w:val="000000"/>
        </w:rPr>
        <w:t>Coordinator</w:t>
      </w:r>
    </w:p>
    <w:p w14:paraId="506748E1" w14:textId="77777777" w:rsidR="006D40E2" w:rsidRDefault="00886BEF">
      <w:r>
        <w:t>Elizabeth A. Thompson, Ph.D.</w:t>
      </w:r>
    </w:p>
    <w:p w14:paraId="2563AEDD" w14:textId="77777777" w:rsidR="006D40E2" w:rsidRDefault="00886BEF">
      <w:pPr>
        <w:pStyle w:val="Heading2"/>
      </w:pPr>
      <w:r>
        <w:rPr>
          <w:color w:val="000000"/>
        </w:rPr>
        <w:lastRenderedPageBreak/>
        <w:t>Date</w:t>
      </w:r>
    </w:p>
    <w:p w14:paraId="7C3826ED" w14:textId="77777777" w:rsidR="006D40E2" w:rsidRDefault="00886BEF">
      <w:r>
        <w:t>10/10/2022</w:t>
      </w:r>
    </w:p>
    <w:sectPr w:rsidR="006D40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42B15"/>
    <w:multiLevelType w:val="hybridMultilevel"/>
    <w:tmpl w:val="F4AAC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2B6C"/>
    <w:rsid w:val="006D40E2"/>
    <w:rsid w:val="00886B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6AEA6"/>
  <w14:defaultImageDpi w14:val="300"/>
  <w15:docId w15:val="{B67F3256-F834-4D02-8ED4-1A4DB031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8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ECE25500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2026-01-02T15:54:00Z</dcterms:created>
  <dcterms:modified xsi:type="dcterms:W3CDTF">2026-01-02T15:54:00Z</dcterms:modified>
  <cp:category/>
</cp:coreProperties>
</file>