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5B7A" w14:textId="77777777" w:rsidR="008F3D9B" w:rsidRDefault="008F3D9B" w:rsidP="008F3D9B">
      <w:pPr>
        <w:widowControl w:val="0"/>
        <w:autoSpaceDE w:val="0"/>
        <w:autoSpaceDN w:val="0"/>
        <w:adjustRightInd w:val="0"/>
        <w:jc w:val="center"/>
        <w:rPr>
          <w:rFonts w:ascii="Times" w:hAnsi="Times" w:cs="Times"/>
          <w:b/>
          <w:bCs/>
          <w:szCs w:val="38"/>
        </w:rPr>
      </w:pPr>
      <w:r w:rsidRPr="008F3D9B">
        <w:rPr>
          <w:rFonts w:ascii="Times" w:hAnsi="Times" w:cs="Times"/>
          <w:b/>
          <w:bCs/>
          <w:szCs w:val="38"/>
        </w:rPr>
        <w:t>Questions to Guide Your Reading of Culture and Nonverbal Communication</w:t>
      </w:r>
    </w:p>
    <w:p w14:paraId="79D63427" w14:textId="77777777" w:rsidR="008F3D9B" w:rsidRPr="008F3D9B" w:rsidRDefault="008F3D9B" w:rsidP="008F3D9B">
      <w:pPr>
        <w:widowControl w:val="0"/>
        <w:autoSpaceDE w:val="0"/>
        <w:autoSpaceDN w:val="0"/>
        <w:adjustRightInd w:val="0"/>
        <w:jc w:val="center"/>
        <w:rPr>
          <w:rFonts w:ascii="Times" w:hAnsi="Times" w:cs="Times"/>
          <w:b/>
          <w:bCs/>
          <w:szCs w:val="38"/>
        </w:rPr>
      </w:pPr>
    </w:p>
    <w:p w14:paraId="299BBE65" w14:textId="77777777" w:rsidR="008F3D9B" w:rsidRPr="008F3D9B" w:rsidRDefault="008F3D9B" w:rsidP="008F3D9B">
      <w:pPr>
        <w:widowControl w:val="0"/>
        <w:autoSpaceDE w:val="0"/>
        <w:autoSpaceDN w:val="0"/>
        <w:adjustRightInd w:val="0"/>
        <w:rPr>
          <w:rFonts w:ascii="Times" w:hAnsi="Times" w:cs="Times"/>
          <w:szCs w:val="32"/>
        </w:rPr>
      </w:pPr>
    </w:p>
    <w:p w14:paraId="56E3F6D7"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 xml:space="preserve">Reading 12 Initiating Interaction: Greetings and </w:t>
      </w:r>
      <w:proofErr w:type="spellStart"/>
      <w:r w:rsidRPr="008F3D9B">
        <w:rPr>
          <w:rFonts w:ascii="Times" w:hAnsi="Times" w:cs="Times"/>
          <w:b/>
          <w:bCs/>
          <w:szCs w:val="32"/>
        </w:rPr>
        <w:t>Beckonings</w:t>
      </w:r>
      <w:proofErr w:type="spellEnd"/>
      <w:r w:rsidRPr="008F3D9B">
        <w:rPr>
          <w:rFonts w:ascii="Times" w:hAnsi="Times" w:cs="Times"/>
          <w:b/>
          <w:bCs/>
          <w:szCs w:val="32"/>
        </w:rPr>
        <w:t xml:space="preserve"> Across the World</w:t>
      </w:r>
    </w:p>
    <w:p w14:paraId="02818142"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by Roger E. Axtell</w:t>
      </w:r>
    </w:p>
    <w:p w14:paraId="3D486AB6"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 xml:space="preserve">1. What does a handshake, </w:t>
      </w:r>
      <w:proofErr w:type="spellStart"/>
      <w:r w:rsidRPr="008F3D9B">
        <w:rPr>
          <w:rFonts w:ascii="Times" w:hAnsi="Times" w:cs="Times"/>
          <w:szCs w:val="32"/>
        </w:rPr>
        <w:t>namaste</w:t>
      </w:r>
      <w:proofErr w:type="spellEnd"/>
      <w:r w:rsidRPr="008F3D9B">
        <w:rPr>
          <w:rFonts w:ascii="Times" w:hAnsi="Times" w:cs="Times"/>
          <w:szCs w:val="32"/>
        </w:rPr>
        <w:t xml:space="preserve"> or </w:t>
      </w:r>
      <w:proofErr w:type="spellStart"/>
      <w:r w:rsidRPr="008F3D9B">
        <w:rPr>
          <w:rFonts w:ascii="Times" w:hAnsi="Times" w:cs="Times"/>
          <w:szCs w:val="32"/>
        </w:rPr>
        <w:t>wai</w:t>
      </w:r>
      <w:proofErr w:type="spellEnd"/>
      <w:r w:rsidRPr="008F3D9B">
        <w:rPr>
          <w:rFonts w:ascii="Times" w:hAnsi="Times" w:cs="Times"/>
          <w:szCs w:val="32"/>
        </w:rPr>
        <w:t xml:space="preserve"> suggest according to Axtell (page. 110)?</w:t>
      </w:r>
    </w:p>
    <w:p w14:paraId="1E32A8A1"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2. Why is it important to know local customs for greetings etc.? How can you learn them?</w:t>
      </w:r>
    </w:p>
    <w:p w14:paraId="187BF12C" w14:textId="77777777" w:rsid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 xml:space="preserve">3. Browse the website: </w:t>
      </w:r>
      <w:hyperlink r:id="rId5" w:history="1">
        <w:r w:rsidRPr="008F3D9B">
          <w:rPr>
            <w:rFonts w:ascii="Times" w:hAnsi="Times" w:cs="Times"/>
            <w:color w:val="0028F4"/>
            <w:szCs w:val="32"/>
            <w:u w:val="single" w:color="0028F4"/>
          </w:rPr>
          <w:t>Provider’s Guide to Quality and Culture</w:t>
        </w:r>
      </w:hyperlink>
      <w:r w:rsidRPr="008F3D9B">
        <w:rPr>
          <w:rFonts w:ascii="Times" w:hAnsi="Times" w:cs="Times"/>
          <w:szCs w:val="32"/>
        </w:rPr>
        <w:t>, find one "useful" piece of information on that site. Why is it useful to you?</w:t>
      </w:r>
    </w:p>
    <w:p w14:paraId="65DFDFCD" w14:textId="77777777" w:rsidR="008F3D9B" w:rsidRPr="008F3D9B" w:rsidRDefault="008F3D9B" w:rsidP="008F3D9B">
      <w:pPr>
        <w:widowControl w:val="0"/>
        <w:autoSpaceDE w:val="0"/>
        <w:autoSpaceDN w:val="0"/>
        <w:adjustRightInd w:val="0"/>
        <w:rPr>
          <w:rFonts w:ascii="Times" w:hAnsi="Times" w:cs="Times"/>
          <w:szCs w:val="32"/>
        </w:rPr>
      </w:pPr>
    </w:p>
    <w:p w14:paraId="5899ABDD"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 xml:space="preserve">Reading 29 </w:t>
      </w:r>
      <w:proofErr w:type="spellStart"/>
      <w:r w:rsidRPr="008F3D9B">
        <w:rPr>
          <w:rFonts w:ascii="Times" w:hAnsi="Times" w:cs="Times"/>
          <w:b/>
          <w:bCs/>
          <w:szCs w:val="32"/>
        </w:rPr>
        <w:t>Monochronic</w:t>
      </w:r>
      <w:proofErr w:type="spellEnd"/>
      <w:r w:rsidRPr="008F3D9B">
        <w:rPr>
          <w:rFonts w:ascii="Times" w:hAnsi="Times" w:cs="Times"/>
          <w:b/>
          <w:bCs/>
          <w:szCs w:val="32"/>
        </w:rPr>
        <w:t xml:space="preserve"> and </w:t>
      </w:r>
      <w:proofErr w:type="spellStart"/>
      <w:r w:rsidRPr="008F3D9B">
        <w:rPr>
          <w:rFonts w:ascii="Times" w:hAnsi="Times" w:cs="Times"/>
          <w:b/>
          <w:bCs/>
          <w:szCs w:val="32"/>
        </w:rPr>
        <w:t>Polychronic</w:t>
      </w:r>
      <w:proofErr w:type="spellEnd"/>
      <w:r w:rsidRPr="008F3D9B">
        <w:rPr>
          <w:rFonts w:ascii="Times" w:hAnsi="Times" w:cs="Times"/>
          <w:b/>
          <w:bCs/>
          <w:szCs w:val="32"/>
        </w:rPr>
        <w:t xml:space="preserve"> Time</w:t>
      </w:r>
    </w:p>
    <w:p w14:paraId="1A6328CF"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by Edward T. Hall and Mildred Reed Hall</w:t>
      </w:r>
    </w:p>
    <w:p w14:paraId="692159C6"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 xml:space="preserve">1. Define mono-and </w:t>
      </w:r>
      <w:proofErr w:type="spellStart"/>
      <w:r w:rsidRPr="008F3D9B">
        <w:rPr>
          <w:rFonts w:ascii="Times" w:hAnsi="Times" w:cs="Times"/>
          <w:szCs w:val="32"/>
        </w:rPr>
        <w:t>polychronic</w:t>
      </w:r>
      <w:proofErr w:type="spellEnd"/>
      <w:r w:rsidRPr="008F3D9B">
        <w:rPr>
          <w:rFonts w:ascii="Times" w:hAnsi="Times" w:cs="Times"/>
          <w:szCs w:val="32"/>
        </w:rPr>
        <w:t xml:space="preserve"> time systems.</w:t>
      </w:r>
    </w:p>
    <w:p w14:paraId="3F7DF332"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2. Which is better for an individual's sanity?</w:t>
      </w:r>
    </w:p>
    <w:p w14:paraId="5DE79F14"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 xml:space="preserve">3. Can we really multi-task the way we think we can? Consider two websites: </w:t>
      </w:r>
      <w:hyperlink r:id="rId6" w:history="1">
        <w:r w:rsidRPr="008F3D9B">
          <w:rPr>
            <w:rFonts w:ascii="Times" w:hAnsi="Times" w:cs="Times"/>
            <w:color w:val="0028F4"/>
            <w:szCs w:val="32"/>
            <w:u w:val="single" w:color="0028F4"/>
          </w:rPr>
          <w:t xml:space="preserve">Scientific research done about multi-tasking </w:t>
        </w:r>
      </w:hyperlink>
      <w:r w:rsidRPr="008F3D9B">
        <w:rPr>
          <w:rFonts w:ascii="Times" w:hAnsi="Times" w:cs="Times"/>
          <w:szCs w:val="32"/>
        </w:rPr>
        <w:t xml:space="preserve">and the </w:t>
      </w:r>
      <w:hyperlink r:id="rId7" w:history="1">
        <w:r w:rsidRPr="008F3D9B">
          <w:rPr>
            <w:rFonts w:ascii="Times" w:hAnsi="Times" w:cs="Times"/>
            <w:color w:val="0028F4"/>
            <w:szCs w:val="32"/>
            <w:u w:val="single" w:color="0028F4"/>
          </w:rPr>
          <w:t>NY Times version of a multi-tasking test.</w:t>
        </w:r>
      </w:hyperlink>
      <w:r w:rsidRPr="008F3D9B">
        <w:rPr>
          <w:rFonts w:ascii="Times" w:hAnsi="Times" w:cs="Times"/>
          <w:szCs w:val="32"/>
        </w:rPr>
        <w:t xml:space="preserve"> How good are you? What is communicated (often nonverbally) when you are multi-tasking during communication with another individual?</w:t>
      </w:r>
    </w:p>
    <w:p w14:paraId="19CE9AE9" w14:textId="77777777" w:rsidR="008F3D9B" w:rsidRDefault="008F3D9B" w:rsidP="008F3D9B">
      <w:pPr>
        <w:widowControl w:val="0"/>
        <w:autoSpaceDE w:val="0"/>
        <w:autoSpaceDN w:val="0"/>
        <w:adjustRightInd w:val="0"/>
        <w:rPr>
          <w:rFonts w:ascii="Times" w:hAnsi="Times" w:cs="Times"/>
          <w:i/>
          <w:iCs/>
          <w:szCs w:val="32"/>
        </w:rPr>
      </w:pPr>
    </w:p>
    <w:p w14:paraId="26198B8D" w14:textId="77777777" w:rsidR="008F3D9B" w:rsidRPr="008F3D9B" w:rsidRDefault="008F3D9B" w:rsidP="008F3D9B">
      <w:pPr>
        <w:widowControl w:val="0"/>
        <w:autoSpaceDE w:val="0"/>
        <w:autoSpaceDN w:val="0"/>
        <w:adjustRightInd w:val="0"/>
        <w:jc w:val="center"/>
        <w:rPr>
          <w:rFonts w:ascii="Times" w:hAnsi="Times" w:cs="Times"/>
          <w:szCs w:val="32"/>
        </w:rPr>
      </w:pPr>
      <w:bookmarkStart w:id="0" w:name="_GoBack"/>
      <w:bookmarkEnd w:id="0"/>
      <w:r w:rsidRPr="008F3D9B">
        <w:rPr>
          <w:rFonts w:ascii="Times" w:hAnsi="Times" w:cs="Times"/>
          <w:b/>
          <w:bCs/>
          <w:szCs w:val="32"/>
        </w:rPr>
        <w:t>Reading 35 Stereotypes and Nonverbal Cues:</w:t>
      </w:r>
    </w:p>
    <w:p w14:paraId="3D0B6ED3"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Showing How We Feel about Others during Cross-Cultural Interactions</w:t>
      </w:r>
    </w:p>
    <w:p w14:paraId="7AA75CE1"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 xml:space="preserve">by Valerie </w:t>
      </w:r>
      <w:proofErr w:type="spellStart"/>
      <w:r w:rsidRPr="008F3D9B">
        <w:rPr>
          <w:rFonts w:ascii="Times" w:hAnsi="Times" w:cs="Times"/>
          <w:b/>
          <w:bCs/>
          <w:szCs w:val="32"/>
        </w:rPr>
        <w:t>Manusov</w:t>
      </w:r>
      <w:proofErr w:type="spellEnd"/>
    </w:p>
    <w:p w14:paraId="01A327D7"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1. Were you surprised by the findings of this study? If so, why? If not, why not?</w:t>
      </w:r>
    </w:p>
    <w:p w14:paraId="6B3C1F92" w14:textId="77777777" w:rsid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2. On page 319, the authors state: "where expectancies are more pronounced or when circumstances dictate greater weight to holding onto expectations, the more direct influence of stereotypes will likely prove more potent." What does this mean? What circumstances might "dictate greater weight to holding onto expectations"?</w:t>
      </w:r>
    </w:p>
    <w:p w14:paraId="7C941448" w14:textId="77777777" w:rsidR="008F3D9B" w:rsidRPr="008F3D9B" w:rsidRDefault="008F3D9B" w:rsidP="008F3D9B">
      <w:pPr>
        <w:widowControl w:val="0"/>
        <w:autoSpaceDE w:val="0"/>
        <w:autoSpaceDN w:val="0"/>
        <w:adjustRightInd w:val="0"/>
        <w:rPr>
          <w:rFonts w:ascii="Times" w:hAnsi="Times" w:cs="Times"/>
          <w:szCs w:val="32"/>
        </w:rPr>
      </w:pPr>
    </w:p>
    <w:p w14:paraId="57DAF748"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Reading 45 Culture and Facial Expression of Emotion</w:t>
      </w:r>
    </w:p>
    <w:p w14:paraId="064D5901" w14:textId="77777777" w:rsidR="008F3D9B" w:rsidRPr="008F3D9B" w:rsidRDefault="008F3D9B" w:rsidP="008F3D9B">
      <w:pPr>
        <w:widowControl w:val="0"/>
        <w:autoSpaceDE w:val="0"/>
        <w:autoSpaceDN w:val="0"/>
        <w:adjustRightInd w:val="0"/>
        <w:jc w:val="center"/>
        <w:rPr>
          <w:rFonts w:ascii="Times" w:hAnsi="Times" w:cs="Times"/>
          <w:szCs w:val="32"/>
        </w:rPr>
      </w:pPr>
      <w:r w:rsidRPr="008F3D9B">
        <w:rPr>
          <w:rFonts w:ascii="Times" w:hAnsi="Times" w:cs="Times"/>
          <w:b/>
          <w:bCs/>
          <w:szCs w:val="32"/>
        </w:rPr>
        <w:t>by David Matsumoto</w:t>
      </w:r>
    </w:p>
    <w:p w14:paraId="605C38A7" w14:textId="77777777" w:rsidR="008F3D9B" w:rsidRPr="008F3D9B" w:rsidRDefault="008F3D9B" w:rsidP="008F3D9B">
      <w:pPr>
        <w:widowControl w:val="0"/>
        <w:autoSpaceDE w:val="0"/>
        <w:autoSpaceDN w:val="0"/>
        <w:adjustRightInd w:val="0"/>
        <w:rPr>
          <w:rFonts w:ascii="Times" w:hAnsi="Times" w:cs="Times"/>
          <w:szCs w:val="32"/>
        </w:rPr>
      </w:pPr>
      <w:r w:rsidRPr="008F3D9B">
        <w:rPr>
          <w:rFonts w:ascii="Times" w:hAnsi="Times" w:cs="Times"/>
          <w:szCs w:val="32"/>
        </w:rPr>
        <w:t>1. What are the six universally recognized emotional expressions?</w:t>
      </w:r>
    </w:p>
    <w:p w14:paraId="4CF64ED6" w14:textId="77777777" w:rsidR="00580EDF" w:rsidRPr="008F3D9B" w:rsidRDefault="008F3D9B" w:rsidP="008F3D9B">
      <w:r w:rsidRPr="008F3D9B">
        <w:rPr>
          <w:rFonts w:ascii="Times" w:hAnsi="Times" w:cs="Times"/>
          <w:szCs w:val="32"/>
        </w:rPr>
        <w:t>2. How do cultural display rules affect our ability to "read" the emotions of people from other cultures?</w:t>
      </w:r>
    </w:p>
    <w:sectPr w:rsidR="00580EDF" w:rsidRPr="008F3D9B" w:rsidSect="00E23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6AED"/>
    <w:multiLevelType w:val="hybridMultilevel"/>
    <w:tmpl w:val="1908867E"/>
    <w:lvl w:ilvl="0" w:tplc="2F309C2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4A2655"/>
    <w:multiLevelType w:val="hybridMultilevel"/>
    <w:tmpl w:val="39A856BC"/>
    <w:lvl w:ilvl="0" w:tplc="A140B236">
      <w:start w:val="1"/>
      <w:numFmt w:val="decimal"/>
      <w:lvlText w:val="%1."/>
      <w:lvlJc w:val="left"/>
      <w:pPr>
        <w:tabs>
          <w:tab w:val="num" w:pos="504"/>
        </w:tabs>
        <w:ind w:left="504" w:hanging="360"/>
      </w:pPr>
      <w:rPr>
        <w:rFonts w:ascii="Times New Roman" w:hAnsi="Times New Roman" w:hint="default"/>
        <w:b w:val="0"/>
        <w:i w:val="0"/>
        <w:sz w:val="22"/>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
    <w:nsid w:val="359C51BF"/>
    <w:multiLevelType w:val="hybridMultilevel"/>
    <w:tmpl w:val="0D3ABC04"/>
    <w:lvl w:ilvl="0" w:tplc="5F0E0D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CD7060"/>
    <w:multiLevelType w:val="hybridMultilevel"/>
    <w:tmpl w:val="018E1510"/>
    <w:lvl w:ilvl="0" w:tplc="6862DD7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F3D9B"/>
    <w:rsid w:val="004053A6"/>
    <w:rsid w:val="008F3D9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2033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389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rc.msh.org/mainpage.cfm?file=4.6.0.htm&amp;module=provider&amp;language=Englis" TargetMode="External"/><Relationship Id="rId6" Type="http://schemas.openxmlformats.org/officeDocument/2006/relationships/hyperlink" Target="http://www.multitaskingtest.net.au/the-science" TargetMode="External"/><Relationship Id="rId7" Type="http://schemas.openxmlformats.org/officeDocument/2006/relationships/hyperlink" Target="http://www.nytimes.com/interactive/2010/06/07/technology/20100607-task-switching-demo.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1709</Characters>
  <Application>Microsoft Macintosh Word</Application>
  <DocSecurity>0</DocSecurity>
  <Lines>14</Lines>
  <Paragraphs>4</Paragraphs>
  <ScaleCrop>false</ScaleCrop>
  <Company>IPFW</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Dixson</dc:creator>
  <cp:keywords/>
  <cp:lastModifiedBy>Marcia Dixson</cp:lastModifiedBy>
  <cp:revision>2</cp:revision>
  <dcterms:created xsi:type="dcterms:W3CDTF">2013-02-17T22:55:00Z</dcterms:created>
  <dcterms:modified xsi:type="dcterms:W3CDTF">2017-08-24T13:24:00Z</dcterms:modified>
</cp:coreProperties>
</file>